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BE" w:rsidRPr="00D779BE" w:rsidRDefault="00D779BE" w:rsidP="00D779BE">
      <w:pPr>
        <w:rPr>
          <w:rFonts w:ascii="Tw Cen MT" w:hAnsi="Tw Cen MT"/>
        </w:rPr>
      </w:pPr>
      <w:r>
        <w:rPr>
          <w:rFonts w:ascii="Tw Cen MT" w:hAnsi="Tw Cen MT"/>
        </w:rPr>
        <w:t>Name: _______________________________________________</w:t>
      </w:r>
      <w:r>
        <w:rPr>
          <w:rFonts w:ascii="Tw Cen MT" w:hAnsi="Tw Cen MT"/>
        </w:rPr>
        <w:tab/>
      </w:r>
      <w:r>
        <w:rPr>
          <w:rFonts w:ascii="Tw Cen MT" w:hAnsi="Tw Cen MT"/>
        </w:rPr>
        <w:tab/>
        <w:t>April 25, 2014</w:t>
      </w:r>
      <w:r>
        <w:rPr>
          <w:rFonts w:ascii="Tw Cen MT" w:hAnsi="Tw Cen MT"/>
        </w:rPr>
        <w:tab/>
      </w:r>
      <w:r>
        <w:rPr>
          <w:rFonts w:ascii="Tw Cen MT" w:hAnsi="Tw Cen MT"/>
        </w:rPr>
        <w:tab/>
        <w:t>Period: ________</w:t>
      </w:r>
    </w:p>
    <w:p w:rsidR="00D779BE" w:rsidRDefault="00D779BE" w:rsidP="00D779BE">
      <w:pPr>
        <w:jc w:val="center"/>
        <w:rPr>
          <w:rFonts w:ascii="Tw Cen MT" w:hAnsi="Tw Cen MT"/>
          <w:b/>
          <w:i/>
        </w:rPr>
      </w:pPr>
    </w:p>
    <w:p w:rsidR="00D779BE" w:rsidRPr="00474129" w:rsidRDefault="00D779BE" w:rsidP="00D779BE">
      <w:pPr>
        <w:jc w:val="center"/>
        <w:rPr>
          <w:rFonts w:ascii="Tw Cen MT" w:hAnsi="Tw Cen MT"/>
          <w:b/>
          <w:sz w:val="28"/>
        </w:rPr>
      </w:pPr>
      <w:proofErr w:type="spellStart"/>
      <w:r w:rsidRPr="00474129">
        <w:rPr>
          <w:rFonts w:ascii="Tw Cen MT" w:hAnsi="Tw Cen MT"/>
          <w:b/>
          <w:i/>
          <w:sz w:val="28"/>
        </w:rPr>
        <w:t>Korematsu</w:t>
      </w:r>
      <w:proofErr w:type="spellEnd"/>
      <w:r w:rsidRPr="00474129">
        <w:rPr>
          <w:rFonts w:ascii="Tw Cen MT" w:hAnsi="Tw Cen MT"/>
          <w:b/>
          <w:i/>
          <w:sz w:val="28"/>
        </w:rPr>
        <w:t xml:space="preserve"> v. the United States (1944) </w:t>
      </w:r>
      <w:r w:rsidRPr="00474129">
        <w:rPr>
          <w:rFonts w:ascii="Tw Cen MT" w:hAnsi="Tw Cen MT"/>
          <w:b/>
          <w:sz w:val="28"/>
        </w:rPr>
        <w:t>Case Summary</w:t>
      </w:r>
    </w:p>
    <w:p w:rsidR="00D779BE" w:rsidRPr="00A2305E" w:rsidRDefault="00A2305E" w:rsidP="00D779BE">
      <w:pPr>
        <w:jc w:val="center"/>
        <w:rPr>
          <w:rFonts w:ascii="Tw Cen MT" w:hAnsi="Tw Cen MT"/>
          <w:sz w:val="16"/>
        </w:rPr>
      </w:pPr>
      <w:r w:rsidRPr="00A2305E">
        <w:rPr>
          <w:rFonts w:ascii="Tw Cen MT" w:hAnsi="Tw Cen MT"/>
          <w:sz w:val="16"/>
        </w:rPr>
        <w:t>Source: http://www.streetlaw.org/en/Page/298/Background_Summary__Questions_</w:t>
      </w:r>
    </w:p>
    <w:p w:rsidR="00A2305E" w:rsidRDefault="00A2305E" w:rsidP="00D779BE">
      <w:pPr>
        <w:jc w:val="center"/>
        <w:rPr>
          <w:rFonts w:ascii="Tw Cen MT" w:hAnsi="Tw Cen MT"/>
          <w:b/>
        </w:rPr>
      </w:pPr>
    </w:p>
    <w:p w:rsidR="00D779BE" w:rsidRPr="00D779BE" w:rsidRDefault="00D779BE" w:rsidP="00D779BE">
      <w:pPr>
        <w:jc w:val="center"/>
        <w:rPr>
          <w:rFonts w:ascii="Tw Cen MT" w:hAnsi="Tw Cen MT"/>
          <w:b/>
        </w:rPr>
      </w:pPr>
      <w:r>
        <w:rPr>
          <w:rFonts w:ascii="Tw Cen MT" w:hAnsi="Tw Cen MT"/>
          <w:b/>
        </w:rPr>
        <w:t>The Facts</w:t>
      </w:r>
    </w:p>
    <w:p w:rsidR="00D779BE" w:rsidRDefault="00D779BE" w:rsidP="00D779BE">
      <w:pPr>
        <w:jc w:val="center"/>
        <w:rPr>
          <w:rFonts w:ascii="Tw Cen MT" w:hAnsi="Tw Cen MT"/>
          <w:b/>
        </w:rPr>
      </w:pPr>
    </w:p>
    <w:tbl>
      <w:tblPr>
        <w:tblStyle w:val="TableGrid"/>
        <w:tblW w:w="0" w:type="auto"/>
        <w:jc w:val="center"/>
        <w:tblLook w:val="00BF"/>
      </w:tblPr>
      <w:tblGrid>
        <w:gridCol w:w="10296"/>
      </w:tblGrid>
      <w:tr w:rsidR="00D779BE" w:rsidTr="00474129">
        <w:trPr>
          <w:trHeight w:val="3779"/>
          <w:jc w:val="center"/>
        </w:trPr>
        <w:tc>
          <w:tcPr>
            <w:tcW w:w="10296" w:type="dxa"/>
            <w:vAlign w:val="center"/>
          </w:tcPr>
          <w:p w:rsidR="00D779BE" w:rsidRPr="00D779BE" w:rsidRDefault="00D779BE" w:rsidP="00D779BE">
            <w:pPr>
              <w:pStyle w:val="NormalWeb"/>
              <w:shd w:val="clear" w:color="auto" w:fill="FFFFFF"/>
              <w:spacing w:beforeLines="0" w:afterLines="0"/>
              <w:ind w:firstLine="720"/>
              <w:textAlignment w:val="baseline"/>
              <w:rPr>
                <w:rFonts w:ascii="Tw Cen MT" w:hAnsi="Tw Cen MT"/>
                <w:color w:val="222222"/>
                <w:szCs w:val="15"/>
              </w:rPr>
            </w:pPr>
            <w:r w:rsidRPr="00D779BE">
              <w:rPr>
                <w:rFonts w:ascii="Tw Cen MT" w:hAnsi="Tw Cen MT"/>
                <w:color w:val="222222"/>
                <w:szCs w:val="15"/>
              </w:rPr>
              <w:t>After Pearl Harbor was bombed in December 1941, the American military became concerned about an attack from the Japanese on the mainland of the United States.  There were many people of Japanese descent living on the West Coast at the time and the American government was worried that they might help the enemy, Japan. </w:t>
            </w:r>
          </w:p>
          <w:p w:rsidR="00D779BE" w:rsidRPr="00D779BE" w:rsidRDefault="00D779BE" w:rsidP="00D779BE">
            <w:pPr>
              <w:pStyle w:val="NormalWeb"/>
              <w:shd w:val="clear" w:color="auto" w:fill="FFFFFF"/>
              <w:spacing w:beforeLines="0" w:afterLines="0"/>
              <w:ind w:firstLine="720"/>
              <w:textAlignment w:val="baseline"/>
              <w:rPr>
                <w:rFonts w:ascii="Tw Cen MT" w:hAnsi="Tw Cen MT"/>
                <w:color w:val="222222"/>
                <w:szCs w:val="15"/>
              </w:rPr>
            </w:pPr>
            <w:r w:rsidRPr="00D779BE">
              <w:rPr>
                <w:rFonts w:ascii="Tw Cen MT" w:hAnsi="Tw Cen MT"/>
                <w:color w:val="222222"/>
                <w:szCs w:val="15"/>
              </w:rPr>
              <w:t xml:space="preserve">At the time there was no proven case of </w:t>
            </w:r>
            <w:r>
              <w:rPr>
                <w:rFonts w:ascii="Tw Cen MT" w:hAnsi="Tw Cen MT"/>
                <w:color w:val="222222"/>
                <w:szCs w:val="15"/>
              </w:rPr>
              <w:t>spying</w:t>
            </w:r>
            <w:r w:rsidRPr="00D779BE">
              <w:rPr>
                <w:rFonts w:ascii="Tw Cen MT" w:hAnsi="Tw Cen MT"/>
                <w:color w:val="222222"/>
                <w:szCs w:val="15"/>
              </w:rPr>
              <w:t xml:space="preserve"> or sabotage on the part of Japanese or Japanese Americans in the United States.  Still, in February 1942, </w:t>
            </w:r>
            <w:r>
              <w:rPr>
                <w:rFonts w:ascii="Tw Cen MT" w:hAnsi="Tw Cen MT"/>
                <w:color w:val="222222"/>
                <w:szCs w:val="15"/>
              </w:rPr>
              <w:t>the military</w:t>
            </w:r>
            <w:r w:rsidRPr="00D779BE">
              <w:rPr>
                <w:rFonts w:ascii="Tw Cen MT" w:hAnsi="Tw Cen MT"/>
                <w:color w:val="222222"/>
                <w:szCs w:val="15"/>
              </w:rPr>
              <w:t xml:space="preserve"> recommended that “Japanese and other subversive persons” be removed from the West Coast.  President Franklin D. R</w:t>
            </w:r>
            <w:r>
              <w:rPr>
                <w:rFonts w:ascii="Tw Cen MT" w:hAnsi="Tw Cen MT"/>
                <w:color w:val="222222"/>
                <w:szCs w:val="15"/>
              </w:rPr>
              <w:t xml:space="preserve">oosevelt soon signed </w:t>
            </w:r>
            <w:r w:rsidRPr="00D779BE">
              <w:rPr>
                <w:rFonts w:ascii="Tw Cen MT" w:hAnsi="Tw Cen MT"/>
                <w:b/>
                <w:color w:val="222222"/>
                <w:szCs w:val="15"/>
              </w:rPr>
              <w:t>Executive Order 9066</w:t>
            </w:r>
            <w:r w:rsidRPr="00D779BE">
              <w:rPr>
                <w:rFonts w:ascii="Tw Cen MT" w:hAnsi="Tw Cen MT"/>
                <w:color w:val="222222"/>
                <w:szCs w:val="15"/>
              </w:rPr>
              <w:t>, which allowed military authorities to enact curfews, forbid people from certain areas, and to move them to new areas.  Congress then passed a law imposing penalties for people who ignored these orders.  Many Japanese and Japanese Americans on the West Coast were moved to camps farther inland</w:t>
            </w:r>
            <w:r w:rsidRPr="00474129">
              <w:rPr>
                <w:rFonts w:ascii="Tw Cen MT" w:hAnsi="Tw Cen MT"/>
                <w:b/>
                <w:color w:val="222222"/>
                <w:szCs w:val="15"/>
              </w:rPr>
              <w:t xml:space="preserve">.  </w:t>
            </w:r>
            <w:r w:rsidRPr="00474129">
              <w:rPr>
                <w:rFonts w:ascii="Tw Cen MT" w:hAnsi="Tw Cen MT"/>
                <w:color w:val="222222"/>
                <w:szCs w:val="15"/>
              </w:rPr>
              <w:t xml:space="preserve">This was called </w:t>
            </w:r>
            <w:r w:rsidRPr="00474129">
              <w:rPr>
                <w:rFonts w:ascii="Tw Cen MT" w:hAnsi="Tw Cen MT"/>
                <w:b/>
                <w:color w:val="222222"/>
                <w:szCs w:val="15"/>
              </w:rPr>
              <w:t>internment</w:t>
            </w:r>
            <w:r w:rsidRPr="00474129">
              <w:rPr>
                <w:rFonts w:ascii="Tw Cen MT" w:hAnsi="Tw Cen MT"/>
                <w:color w:val="222222"/>
                <w:szCs w:val="15"/>
              </w:rPr>
              <w:t>. </w:t>
            </w:r>
            <w:r w:rsidRPr="00D779BE">
              <w:rPr>
                <w:rFonts w:ascii="Tw Cen MT" w:hAnsi="Tw Cen MT"/>
                <w:color w:val="222222"/>
                <w:szCs w:val="15"/>
              </w:rPr>
              <w:t xml:space="preserve"> Japanese Americans were forced to sell their homes and personal belongings and to move to the camps.  They were required to live in very basic camps or barracks, many of which did not having running water or cooking facilities. </w:t>
            </w:r>
          </w:p>
          <w:p w:rsidR="00D779BE" w:rsidRPr="00D779BE" w:rsidRDefault="00D779BE" w:rsidP="00474129">
            <w:pPr>
              <w:pStyle w:val="NormalWeb"/>
              <w:shd w:val="clear" w:color="auto" w:fill="FFFFFF"/>
              <w:spacing w:beforeLines="0" w:afterLines="0"/>
              <w:ind w:firstLine="720"/>
              <w:textAlignment w:val="baseline"/>
              <w:rPr>
                <w:rFonts w:ascii="Tw Cen MT" w:hAnsi="Tw Cen MT"/>
                <w:color w:val="222222"/>
                <w:szCs w:val="15"/>
              </w:rPr>
            </w:pPr>
            <w:r w:rsidRPr="00D779BE">
              <w:rPr>
                <w:rFonts w:ascii="Tw Cen MT" w:hAnsi="Tw Cen MT"/>
                <w:b/>
                <w:color w:val="222222"/>
                <w:szCs w:val="15"/>
              </w:rPr>
              <w:t xml:space="preserve">Fred </w:t>
            </w:r>
            <w:proofErr w:type="spellStart"/>
            <w:r w:rsidRPr="00D779BE">
              <w:rPr>
                <w:rFonts w:ascii="Tw Cen MT" w:hAnsi="Tw Cen MT"/>
                <w:b/>
                <w:color w:val="222222"/>
                <w:szCs w:val="15"/>
              </w:rPr>
              <w:t>Korematsu</w:t>
            </w:r>
            <w:proofErr w:type="spellEnd"/>
            <w:r w:rsidRPr="00D779BE">
              <w:rPr>
                <w:rFonts w:ascii="Tw Cen MT" w:hAnsi="Tw Cen MT"/>
                <w:color w:val="222222"/>
                <w:szCs w:val="15"/>
              </w:rPr>
              <w:t xml:space="preserve"> was a U.S. citizen.  He was born in America </w:t>
            </w:r>
            <w:r w:rsidR="00474129">
              <w:rPr>
                <w:rFonts w:ascii="Tw Cen MT" w:hAnsi="Tw Cen MT"/>
                <w:color w:val="222222"/>
                <w:szCs w:val="15"/>
              </w:rPr>
              <w:t>to</w:t>
            </w:r>
            <w:r w:rsidRPr="00D779BE">
              <w:rPr>
                <w:rFonts w:ascii="Tw Cen MT" w:hAnsi="Tw Cen MT"/>
                <w:color w:val="222222"/>
                <w:szCs w:val="15"/>
              </w:rPr>
              <w:t xml:space="preserve"> Japanese parents.  He tried to serve in the United States military, but was rejected for health reasons.  Later, he worked in a shipyard.  When the Japanese internment began in California, </w:t>
            </w:r>
            <w:proofErr w:type="spellStart"/>
            <w:r w:rsidRPr="00D779BE">
              <w:rPr>
                <w:rFonts w:ascii="Tw Cen MT" w:hAnsi="Tw Cen MT"/>
                <w:color w:val="222222"/>
                <w:szCs w:val="15"/>
              </w:rPr>
              <w:t>Korematsu</w:t>
            </w:r>
            <w:proofErr w:type="spellEnd"/>
            <w:r w:rsidRPr="00D779BE">
              <w:rPr>
                <w:rFonts w:ascii="Tw Cen MT" w:hAnsi="Tw Cen MT"/>
                <w:color w:val="222222"/>
                <w:szCs w:val="15"/>
              </w:rPr>
              <w:t xml:space="preserve"> moved to another town.  He also had some facial surgery and claimed to be Mexican-American.  He was later arrested and convicted of violating an order that banned people of Japanese descent from the area of San Leandro, California, which had a large military </w:t>
            </w:r>
            <w:r>
              <w:rPr>
                <w:rFonts w:ascii="Tw Cen MT" w:hAnsi="Tw Cen MT"/>
                <w:color w:val="222222"/>
                <w:szCs w:val="15"/>
              </w:rPr>
              <w:t>base</w:t>
            </w:r>
            <w:r w:rsidRPr="00D779BE">
              <w:rPr>
                <w:rFonts w:ascii="Tw Cen MT" w:hAnsi="Tw Cen MT"/>
                <w:color w:val="222222"/>
                <w:szCs w:val="15"/>
              </w:rPr>
              <w:t>.</w:t>
            </w:r>
          </w:p>
        </w:tc>
      </w:tr>
    </w:tbl>
    <w:p w:rsidR="00D779BE" w:rsidRPr="00D779BE" w:rsidRDefault="00D779BE" w:rsidP="00D779BE">
      <w:pPr>
        <w:jc w:val="center"/>
        <w:rPr>
          <w:rFonts w:ascii="Tw Cen MT" w:hAnsi="Tw Cen MT"/>
          <w:b/>
        </w:rPr>
      </w:pPr>
    </w:p>
    <w:p w:rsidR="00D779BE" w:rsidRPr="00D779BE" w:rsidRDefault="00D779BE" w:rsidP="00D779BE">
      <w:pPr>
        <w:jc w:val="center"/>
        <w:rPr>
          <w:rFonts w:ascii="Tw Cen MT" w:hAnsi="Tw Cen MT"/>
          <w:b/>
        </w:rPr>
      </w:pPr>
      <w:r>
        <w:rPr>
          <w:rFonts w:ascii="Tw Cen MT" w:hAnsi="Tw Cen MT"/>
          <w:b/>
        </w:rPr>
        <w:t>The Arguments</w:t>
      </w:r>
    </w:p>
    <w:p w:rsidR="00D779BE" w:rsidRPr="00D779BE" w:rsidRDefault="00D779BE" w:rsidP="00D779BE">
      <w:pPr>
        <w:jc w:val="center"/>
        <w:rPr>
          <w:rFonts w:ascii="Tw Cen MT" w:hAnsi="Tw Cen MT"/>
          <w:b/>
        </w:rPr>
      </w:pPr>
    </w:p>
    <w:tbl>
      <w:tblPr>
        <w:tblStyle w:val="TableGrid"/>
        <w:tblW w:w="0" w:type="auto"/>
        <w:jc w:val="center"/>
        <w:tblLook w:val="00BF"/>
      </w:tblPr>
      <w:tblGrid>
        <w:gridCol w:w="5148"/>
        <w:gridCol w:w="5148"/>
      </w:tblGrid>
      <w:tr w:rsidR="00D779BE" w:rsidRPr="00D779BE" w:rsidTr="00474129">
        <w:trPr>
          <w:trHeight w:val="449"/>
          <w:jc w:val="center"/>
        </w:trPr>
        <w:tc>
          <w:tcPr>
            <w:tcW w:w="5148" w:type="dxa"/>
            <w:vAlign w:val="center"/>
          </w:tcPr>
          <w:p w:rsidR="00D779BE" w:rsidRPr="00D779BE" w:rsidRDefault="00D779BE" w:rsidP="00D779BE">
            <w:pPr>
              <w:jc w:val="center"/>
              <w:rPr>
                <w:rFonts w:ascii="Tw Cen MT" w:hAnsi="Tw Cen MT"/>
                <w:b/>
                <w:i/>
              </w:rPr>
            </w:pPr>
            <w:r w:rsidRPr="00D779BE">
              <w:rPr>
                <w:rFonts w:ascii="Tw Cen MT" w:hAnsi="Tw Cen MT"/>
                <w:b/>
              </w:rPr>
              <w:t xml:space="preserve">Fred </w:t>
            </w:r>
            <w:proofErr w:type="spellStart"/>
            <w:r w:rsidRPr="00D779BE">
              <w:rPr>
                <w:rFonts w:ascii="Tw Cen MT" w:hAnsi="Tw Cen MT"/>
                <w:b/>
              </w:rPr>
              <w:t>Korematsu</w:t>
            </w:r>
            <w:proofErr w:type="spellEnd"/>
            <w:r w:rsidRPr="00D779BE">
              <w:rPr>
                <w:rFonts w:ascii="Tw Cen MT" w:hAnsi="Tw Cen MT"/>
                <w:b/>
              </w:rPr>
              <w:t xml:space="preserve"> – </w:t>
            </w:r>
            <w:r w:rsidRPr="00D779BE">
              <w:rPr>
                <w:rFonts w:ascii="Tw Cen MT" w:hAnsi="Tw Cen MT"/>
                <w:b/>
                <w:i/>
              </w:rPr>
              <w:t>the plaintiff</w:t>
            </w:r>
          </w:p>
        </w:tc>
        <w:tc>
          <w:tcPr>
            <w:tcW w:w="5148" w:type="dxa"/>
            <w:vAlign w:val="center"/>
          </w:tcPr>
          <w:p w:rsidR="00D779BE" w:rsidRPr="00D779BE" w:rsidRDefault="00D779BE" w:rsidP="00D779BE">
            <w:pPr>
              <w:jc w:val="center"/>
              <w:rPr>
                <w:rFonts w:ascii="Tw Cen MT" w:hAnsi="Tw Cen MT"/>
                <w:b/>
                <w:i/>
              </w:rPr>
            </w:pPr>
            <w:r w:rsidRPr="00D779BE">
              <w:rPr>
                <w:rFonts w:ascii="Tw Cen MT" w:hAnsi="Tw Cen MT"/>
                <w:b/>
              </w:rPr>
              <w:t xml:space="preserve">United States Government – </w:t>
            </w:r>
            <w:r w:rsidRPr="00D779BE">
              <w:rPr>
                <w:rFonts w:ascii="Tw Cen MT" w:hAnsi="Tw Cen MT"/>
                <w:b/>
                <w:i/>
              </w:rPr>
              <w:t>the defendant</w:t>
            </w:r>
          </w:p>
        </w:tc>
      </w:tr>
      <w:tr w:rsidR="00D779BE" w:rsidRPr="00D779BE" w:rsidTr="00474129">
        <w:trPr>
          <w:trHeight w:val="1763"/>
          <w:jc w:val="center"/>
        </w:trPr>
        <w:tc>
          <w:tcPr>
            <w:tcW w:w="5148" w:type="dxa"/>
            <w:vAlign w:val="center"/>
          </w:tcPr>
          <w:p w:rsidR="00D779BE" w:rsidRPr="00D779BE" w:rsidRDefault="00D779BE" w:rsidP="00D779BE">
            <w:pPr>
              <w:pStyle w:val="NormalWeb"/>
              <w:shd w:val="clear" w:color="auto" w:fill="FFFFFF"/>
              <w:spacing w:beforeLines="0" w:afterLines="0"/>
              <w:ind w:firstLine="720"/>
              <w:textAlignment w:val="baseline"/>
              <w:rPr>
                <w:rFonts w:ascii="Tw Cen MT" w:hAnsi="Tw Cen MT"/>
                <w:color w:val="222222"/>
                <w:szCs w:val="15"/>
              </w:rPr>
            </w:pPr>
            <w:proofErr w:type="spellStart"/>
            <w:r w:rsidRPr="00D779BE">
              <w:rPr>
                <w:rFonts w:ascii="Tw Cen MT" w:hAnsi="Tw Cen MT"/>
                <w:color w:val="222222"/>
                <w:szCs w:val="15"/>
              </w:rPr>
              <w:t>Korematsu</w:t>
            </w:r>
            <w:proofErr w:type="spellEnd"/>
            <w:r w:rsidRPr="00D779BE">
              <w:rPr>
                <w:rFonts w:ascii="Tw Cen MT" w:hAnsi="Tw Cen MT"/>
                <w:color w:val="222222"/>
                <w:szCs w:val="15"/>
              </w:rPr>
              <w:t xml:space="preserve"> challenged his conviction in the courts.  He said that Congress, the President, and the military authorities did not have the power to issue the relocation orders.  He also said that because the order only applied to people of Japanese descent, the government was discriminating against him on the basis of race.</w:t>
            </w:r>
          </w:p>
        </w:tc>
        <w:tc>
          <w:tcPr>
            <w:tcW w:w="5148" w:type="dxa"/>
            <w:vAlign w:val="center"/>
          </w:tcPr>
          <w:p w:rsidR="00D779BE" w:rsidRPr="00D779BE" w:rsidRDefault="00D779BE" w:rsidP="00D779BE">
            <w:pPr>
              <w:pStyle w:val="NormalWeb"/>
              <w:shd w:val="clear" w:color="auto" w:fill="FFFFFF"/>
              <w:spacing w:beforeLines="0" w:afterLines="0"/>
              <w:ind w:firstLine="720"/>
              <w:textAlignment w:val="baseline"/>
              <w:rPr>
                <w:rFonts w:ascii="Tw Cen MT" w:hAnsi="Tw Cen MT"/>
                <w:color w:val="222222"/>
                <w:szCs w:val="15"/>
              </w:rPr>
            </w:pPr>
            <w:r w:rsidRPr="00D779BE">
              <w:rPr>
                <w:rFonts w:ascii="Tw Cen MT" w:hAnsi="Tw Cen MT"/>
                <w:color w:val="222222"/>
                <w:szCs w:val="15"/>
              </w:rPr>
              <w:t>The government argued that the evacuation of all Japanese Americans was necessary to protect the country because there was evidence that some were working for the Japanese government.  The government said that because there was no way to tell who was loyal and who was not, it had to treat all people with Japanese ancestors as though they were disloyal.</w:t>
            </w:r>
          </w:p>
        </w:tc>
      </w:tr>
    </w:tbl>
    <w:p w:rsidR="00D779BE" w:rsidRDefault="00D779BE">
      <w:pPr>
        <w:rPr>
          <w:rFonts w:ascii="Tw Cen MT" w:hAnsi="Tw Cen MT"/>
        </w:rPr>
      </w:pPr>
    </w:p>
    <w:p w:rsidR="00D779BE" w:rsidRPr="00D779BE" w:rsidRDefault="00D779BE" w:rsidP="00D779BE">
      <w:pPr>
        <w:jc w:val="center"/>
        <w:rPr>
          <w:rFonts w:ascii="Tw Cen MT" w:hAnsi="Tw Cen MT"/>
          <w:b/>
        </w:rPr>
      </w:pPr>
      <w:r w:rsidRPr="00D779BE">
        <w:rPr>
          <w:rFonts w:ascii="Tw Cen MT" w:hAnsi="Tw Cen MT"/>
          <w:b/>
        </w:rPr>
        <w:t>The Decision</w:t>
      </w:r>
    </w:p>
    <w:p w:rsidR="00D779BE" w:rsidRDefault="00D779BE">
      <w:pPr>
        <w:rPr>
          <w:rFonts w:ascii="Tw Cen MT" w:hAnsi="Tw Cen MT"/>
        </w:rPr>
      </w:pPr>
    </w:p>
    <w:tbl>
      <w:tblPr>
        <w:tblStyle w:val="TableGrid"/>
        <w:tblW w:w="0" w:type="auto"/>
        <w:jc w:val="center"/>
        <w:tblLook w:val="00BF"/>
      </w:tblPr>
      <w:tblGrid>
        <w:gridCol w:w="10296"/>
      </w:tblGrid>
      <w:tr w:rsidR="00D779BE" w:rsidTr="00474129">
        <w:trPr>
          <w:trHeight w:val="620"/>
          <w:jc w:val="center"/>
        </w:trPr>
        <w:tc>
          <w:tcPr>
            <w:tcW w:w="10296" w:type="dxa"/>
            <w:vAlign w:val="center"/>
          </w:tcPr>
          <w:p w:rsidR="00D779BE" w:rsidRDefault="00D779BE" w:rsidP="00D779BE">
            <w:pPr>
              <w:pStyle w:val="NormalWeb"/>
              <w:shd w:val="clear" w:color="auto" w:fill="FFFFFF"/>
              <w:spacing w:beforeLines="0" w:afterLines="0"/>
              <w:ind w:firstLine="720"/>
              <w:textAlignment w:val="baseline"/>
              <w:rPr>
                <w:rFonts w:ascii="Tw Cen MT" w:hAnsi="Tw Cen MT"/>
              </w:rPr>
            </w:pPr>
            <w:r w:rsidRPr="00D779BE">
              <w:rPr>
                <w:rFonts w:ascii="Tw Cen MT" w:hAnsi="Tw Cen MT"/>
                <w:color w:val="222222"/>
                <w:szCs w:val="15"/>
              </w:rPr>
              <w:t xml:space="preserve">The federal appeals court agreed with the government.  </w:t>
            </w:r>
            <w:proofErr w:type="spellStart"/>
            <w:r w:rsidRPr="00D779BE">
              <w:rPr>
                <w:rFonts w:ascii="Tw Cen MT" w:hAnsi="Tw Cen MT"/>
                <w:color w:val="222222"/>
                <w:szCs w:val="15"/>
              </w:rPr>
              <w:t>Korematsu</w:t>
            </w:r>
            <w:proofErr w:type="spellEnd"/>
            <w:r w:rsidRPr="00D779BE">
              <w:rPr>
                <w:rFonts w:ascii="Tw Cen MT" w:hAnsi="Tw Cen MT"/>
                <w:color w:val="222222"/>
                <w:szCs w:val="15"/>
              </w:rPr>
              <w:t xml:space="preserve"> appealed this decision and the case came before the U.S. Supreme Court.</w:t>
            </w:r>
          </w:p>
        </w:tc>
      </w:tr>
    </w:tbl>
    <w:p w:rsidR="00474129" w:rsidRDefault="00474129">
      <w:pPr>
        <w:rPr>
          <w:rFonts w:ascii="Tw Cen MT" w:hAnsi="Tw Cen MT"/>
        </w:rPr>
      </w:pPr>
    </w:p>
    <w:p w:rsidR="00474129" w:rsidRPr="00474129" w:rsidRDefault="00474129" w:rsidP="00474129">
      <w:pPr>
        <w:jc w:val="center"/>
        <w:rPr>
          <w:rFonts w:ascii="Tw Cen MT" w:hAnsi="Tw Cen MT"/>
          <w:b/>
          <w:sz w:val="32"/>
        </w:rPr>
      </w:pPr>
      <w:r w:rsidRPr="00474129">
        <w:rPr>
          <w:rFonts w:ascii="Tw Cen MT" w:hAnsi="Tw Cen MT"/>
          <w:b/>
          <w:sz w:val="32"/>
        </w:rPr>
        <w:t>ASSIGNMENT</w:t>
      </w:r>
    </w:p>
    <w:p w:rsidR="00474129" w:rsidRPr="00474129" w:rsidRDefault="00474129" w:rsidP="00474129">
      <w:pPr>
        <w:rPr>
          <w:rFonts w:ascii="Tw Cen MT" w:hAnsi="Tw Cen MT"/>
          <w:i/>
          <w:iCs/>
          <w:sz w:val="24"/>
        </w:rPr>
      </w:pPr>
    </w:p>
    <w:p w:rsidR="00474129" w:rsidRPr="00474129" w:rsidRDefault="00474129" w:rsidP="00A2305E">
      <w:pPr>
        <w:jc w:val="center"/>
        <w:rPr>
          <w:rFonts w:ascii="Tw Cen MT" w:hAnsi="Tw Cen MT"/>
          <w:iCs/>
          <w:sz w:val="24"/>
        </w:rPr>
      </w:pPr>
      <w:r w:rsidRPr="00474129">
        <w:rPr>
          <w:rFonts w:ascii="Tw Cen MT" w:hAnsi="Tw Cen MT"/>
          <w:i/>
          <w:iCs/>
          <w:sz w:val="24"/>
        </w:rPr>
        <w:t xml:space="preserve">Do you agree with </w:t>
      </w:r>
      <w:proofErr w:type="spellStart"/>
      <w:r w:rsidRPr="00474129">
        <w:rPr>
          <w:rFonts w:ascii="Tw Cen MT" w:hAnsi="Tw Cen MT"/>
          <w:i/>
          <w:iCs/>
          <w:sz w:val="24"/>
        </w:rPr>
        <w:t>Korematsu</w:t>
      </w:r>
      <w:proofErr w:type="spellEnd"/>
      <w:r w:rsidRPr="00474129">
        <w:rPr>
          <w:rFonts w:ascii="Tw Cen MT" w:hAnsi="Tw Cen MT"/>
          <w:i/>
          <w:iCs/>
          <w:sz w:val="24"/>
        </w:rPr>
        <w:t xml:space="preserve"> or the U.S. government?</w:t>
      </w:r>
      <w:r w:rsidRPr="00474129">
        <w:rPr>
          <w:rFonts w:ascii="Tw Cen MT" w:hAnsi="Tw Cen MT"/>
          <w:iCs/>
          <w:sz w:val="24"/>
        </w:rPr>
        <w:t xml:space="preserve"> Give at least three reasons for your answer.</w:t>
      </w:r>
    </w:p>
    <w:p w:rsidR="00474129" w:rsidRDefault="00474129" w:rsidP="00A2305E">
      <w:pPr>
        <w:spacing w:line="360" w:lineRule="auto"/>
        <w:rPr>
          <w:rFonts w:ascii="Tw Cen MT" w:hAnsi="Tw Cen MT"/>
          <w:iCs/>
        </w:rPr>
      </w:pPr>
    </w:p>
    <w:p w:rsidR="00474129" w:rsidRPr="00474129" w:rsidRDefault="00474129" w:rsidP="00A2305E">
      <w:pPr>
        <w:spacing w:line="360" w:lineRule="auto"/>
        <w:rPr>
          <w:rFonts w:ascii="Tw Cen MT" w:hAnsi="Tw Cen MT"/>
        </w:rPr>
      </w:pPr>
      <w:r>
        <w:rPr>
          <w:rFonts w:ascii="Tw Cen MT" w:hAnsi="Tw Cen MT"/>
          <w:iCs/>
        </w:rPr>
        <w:t>____________________________________________________________________________________________________________</w:t>
      </w:r>
    </w:p>
    <w:p w:rsidR="00474129" w:rsidRPr="00474129" w:rsidRDefault="00474129" w:rsidP="00A2305E">
      <w:pPr>
        <w:spacing w:line="360" w:lineRule="auto"/>
        <w:rPr>
          <w:rFonts w:ascii="Tw Cen MT" w:hAnsi="Tw Cen MT"/>
        </w:rPr>
      </w:pPr>
      <w:r>
        <w:rPr>
          <w:rFonts w:ascii="Tw Cen MT" w:hAnsi="Tw Cen MT"/>
          <w:iCs/>
        </w:rPr>
        <w:t>____________________________________________________________________________________________________________</w:t>
      </w:r>
    </w:p>
    <w:p w:rsidR="00474129" w:rsidRPr="00474129" w:rsidRDefault="00474129" w:rsidP="00A2305E">
      <w:pPr>
        <w:spacing w:line="360" w:lineRule="auto"/>
        <w:rPr>
          <w:rFonts w:ascii="Tw Cen MT" w:hAnsi="Tw Cen MT"/>
        </w:rPr>
      </w:pPr>
      <w:r>
        <w:rPr>
          <w:rFonts w:ascii="Tw Cen MT" w:hAnsi="Tw Cen MT"/>
          <w:iCs/>
        </w:rPr>
        <w:t>____________________________________________________________________________________________________________</w:t>
      </w:r>
    </w:p>
    <w:p w:rsidR="00474129" w:rsidRPr="00474129" w:rsidRDefault="00474129" w:rsidP="00A2305E">
      <w:pPr>
        <w:spacing w:line="360" w:lineRule="auto"/>
        <w:rPr>
          <w:rFonts w:ascii="Tw Cen MT" w:hAnsi="Tw Cen MT"/>
        </w:rPr>
      </w:pPr>
      <w:r>
        <w:rPr>
          <w:rFonts w:ascii="Tw Cen MT" w:hAnsi="Tw Cen MT"/>
          <w:iCs/>
        </w:rPr>
        <w:t>____________________________________________________________________________________________________________</w:t>
      </w:r>
    </w:p>
    <w:p w:rsidR="00474129" w:rsidRPr="00474129" w:rsidRDefault="00474129" w:rsidP="00A2305E">
      <w:pPr>
        <w:spacing w:line="360" w:lineRule="auto"/>
        <w:rPr>
          <w:rFonts w:ascii="Tw Cen MT" w:hAnsi="Tw Cen MT"/>
        </w:rPr>
      </w:pPr>
      <w:r>
        <w:rPr>
          <w:rFonts w:ascii="Tw Cen MT" w:hAnsi="Tw Cen MT"/>
          <w:iCs/>
        </w:rPr>
        <w:t>____________________________________________________________________________________________________________</w:t>
      </w:r>
    </w:p>
    <w:p w:rsidR="00474129" w:rsidRPr="00474129" w:rsidRDefault="00474129" w:rsidP="00A2305E">
      <w:pPr>
        <w:spacing w:line="360" w:lineRule="auto"/>
        <w:rPr>
          <w:rFonts w:ascii="Tw Cen MT" w:hAnsi="Tw Cen MT"/>
        </w:rPr>
      </w:pPr>
      <w:r>
        <w:rPr>
          <w:rFonts w:ascii="Tw Cen MT" w:hAnsi="Tw Cen MT"/>
          <w:iCs/>
        </w:rPr>
        <w:t>____________________________________________________________________________________________________________</w:t>
      </w:r>
    </w:p>
    <w:p w:rsidR="00474129" w:rsidRPr="00474129" w:rsidRDefault="00474129" w:rsidP="00A2305E">
      <w:pPr>
        <w:spacing w:line="360" w:lineRule="auto"/>
        <w:rPr>
          <w:rFonts w:ascii="Tw Cen MT" w:hAnsi="Tw Cen MT"/>
        </w:rPr>
      </w:pPr>
      <w:r>
        <w:rPr>
          <w:rFonts w:ascii="Tw Cen MT" w:hAnsi="Tw Cen MT"/>
          <w:iCs/>
        </w:rPr>
        <w:t>____________________________________________________________________________________________________________</w:t>
      </w:r>
    </w:p>
    <w:p w:rsidR="00A2305E" w:rsidRPr="00D779BE" w:rsidRDefault="00474129" w:rsidP="00A2305E">
      <w:pPr>
        <w:spacing w:line="360" w:lineRule="auto"/>
        <w:rPr>
          <w:rFonts w:ascii="Tw Cen MT" w:hAnsi="Tw Cen MT"/>
        </w:rPr>
      </w:pPr>
      <w:r>
        <w:rPr>
          <w:rFonts w:ascii="Tw Cen MT" w:hAnsi="Tw Cen MT"/>
          <w:iCs/>
        </w:rPr>
        <w:t>____________________________________________________________________________________________________________</w:t>
      </w:r>
      <w:r w:rsidR="00A2305E">
        <w:rPr>
          <w:rFonts w:ascii="Tw Cen MT" w:hAnsi="Tw Cen MT"/>
          <w:iCs/>
        </w:rPr>
        <w:t>____________________________________________________________________________________________________________</w:t>
      </w:r>
    </w:p>
    <w:p w:rsidR="00D779BE" w:rsidRPr="00D779BE" w:rsidRDefault="00A2305E" w:rsidP="00A2305E">
      <w:pPr>
        <w:spacing w:line="360" w:lineRule="auto"/>
        <w:rPr>
          <w:rFonts w:ascii="Tw Cen MT" w:hAnsi="Tw Cen MT"/>
        </w:rPr>
      </w:pPr>
      <w:r>
        <w:rPr>
          <w:rFonts w:ascii="Tw Cen MT" w:hAnsi="Tw Cen MT"/>
          <w:iCs/>
        </w:rPr>
        <w:t>____________________________________________________________________________________________________________</w:t>
      </w:r>
    </w:p>
    <w:sectPr w:rsidR="00D779BE" w:rsidRPr="00D779BE" w:rsidSect="00474129">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79BE"/>
    <w:rsid w:val="00474129"/>
    <w:rsid w:val="00A2305E"/>
    <w:rsid w:val="00D779BE"/>
  </w:rsids>
  <m:mathPr>
    <m:mathFont m:val="Engravers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CA"/>
    <w:rPr>
      <w:rFonts w:asciiTheme="majorHAnsi" w:hAnsiTheme="majorHAnsi"/>
      <w:sz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779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D779BE"/>
    <w:pPr>
      <w:spacing w:beforeLines="1" w:afterLines="1"/>
    </w:pPr>
    <w:rPr>
      <w:rFonts w:ascii="Times" w:hAnsi="Times" w:cs="Times New Roman"/>
      <w:szCs w:val="20"/>
    </w:rPr>
  </w:style>
  <w:style w:type="paragraph" w:styleId="Header">
    <w:name w:val="header"/>
    <w:basedOn w:val="Normal"/>
    <w:link w:val="HeaderChar"/>
    <w:uiPriority w:val="99"/>
    <w:semiHidden/>
    <w:unhideWhenUsed/>
    <w:rsid w:val="00A2305E"/>
    <w:pPr>
      <w:tabs>
        <w:tab w:val="center" w:pos="4320"/>
        <w:tab w:val="right" w:pos="8640"/>
      </w:tabs>
    </w:pPr>
  </w:style>
  <w:style w:type="character" w:customStyle="1" w:styleId="HeaderChar">
    <w:name w:val="Header Char"/>
    <w:basedOn w:val="DefaultParagraphFont"/>
    <w:link w:val="Header"/>
    <w:uiPriority w:val="99"/>
    <w:semiHidden/>
    <w:rsid w:val="00A2305E"/>
    <w:rPr>
      <w:rFonts w:asciiTheme="majorHAnsi" w:hAnsiTheme="majorHAnsi"/>
      <w:sz w:val="20"/>
    </w:rPr>
  </w:style>
  <w:style w:type="paragraph" w:styleId="Footer">
    <w:name w:val="footer"/>
    <w:basedOn w:val="Normal"/>
    <w:link w:val="FooterChar"/>
    <w:uiPriority w:val="99"/>
    <w:semiHidden/>
    <w:unhideWhenUsed/>
    <w:rsid w:val="00A2305E"/>
    <w:pPr>
      <w:tabs>
        <w:tab w:val="center" w:pos="4320"/>
        <w:tab w:val="right" w:pos="8640"/>
      </w:tabs>
    </w:pPr>
  </w:style>
  <w:style w:type="character" w:customStyle="1" w:styleId="FooterChar">
    <w:name w:val="Footer Char"/>
    <w:basedOn w:val="DefaultParagraphFont"/>
    <w:link w:val="Footer"/>
    <w:uiPriority w:val="99"/>
    <w:semiHidden/>
    <w:rsid w:val="00A2305E"/>
    <w:rPr>
      <w:rFonts w:asciiTheme="majorHAnsi" w:hAnsiTheme="majorHAnsi"/>
      <w:sz w:val="20"/>
    </w:rPr>
  </w:style>
</w:styles>
</file>

<file path=word/webSettings.xml><?xml version="1.0" encoding="utf-8"?>
<w:webSettings xmlns:r="http://schemas.openxmlformats.org/officeDocument/2006/relationships" xmlns:w="http://schemas.openxmlformats.org/wordprocessingml/2006/main">
  <w:divs>
    <w:div w:id="995380590">
      <w:bodyDiv w:val="1"/>
      <w:marLeft w:val="0"/>
      <w:marRight w:val="0"/>
      <w:marTop w:val="0"/>
      <w:marBottom w:val="0"/>
      <w:divBdr>
        <w:top w:val="none" w:sz="0" w:space="0" w:color="auto"/>
        <w:left w:val="none" w:sz="0" w:space="0" w:color="auto"/>
        <w:bottom w:val="none" w:sz="0" w:space="0" w:color="auto"/>
        <w:right w:val="none" w:sz="0" w:space="0" w:color="auto"/>
      </w:divBdr>
      <w:divsChild>
        <w:div w:id="239027209">
          <w:marLeft w:val="547"/>
          <w:marRight w:val="0"/>
          <w:marTop w:val="0"/>
          <w:marBottom w:val="0"/>
          <w:divBdr>
            <w:top w:val="none" w:sz="0" w:space="0" w:color="auto"/>
            <w:left w:val="none" w:sz="0" w:space="0" w:color="auto"/>
            <w:bottom w:val="none" w:sz="0" w:space="0" w:color="auto"/>
            <w:right w:val="none" w:sz="0" w:space="0" w:color="auto"/>
          </w:divBdr>
        </w:div>
      </w:divsChild>
    </w:div>
    <w:div w:id="18488680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0</Characters>
  <Application>Microsoft Macintosh Word</Application>
  <DocSecurity>0</DocSecurity>
  <Lines>1</Lines>
  <Paragraphs>1</Paragraphs>
  <ScaleCrop>false</ScaleCrop>
  <Company>Durham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cp:lastModifiedBy>Durham Public Schools</cp:lastModifiedBy>
  <cp:revision>2</cp:revision>
  <dcterms:created xsi:type="dcterms:W3CDTF">2014-04-25T11:46:00Z</dcterms:created>
  <dcterms:modified xsi:type="dcterms:W3CDTF">2014-04-25T12:11:00Z</dcterms:modified>
</cp:coreProperties>
</file>